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90" w:rsidRDefault="00611190" w:rsidP="00611190">
      <w:pPr>
        <w:pStyle w:val="BodyText"/>
      </w:pPr>
      <w:r>
        <w:t>JAG consultation paper on proposals for a quality assurance scheme for criminal advocates – Response of the SEC</w:t>
      </w:r>
    </w:p>
    <w:p w:rsidR="00611190" w:rsidRDefault="00611190" w:rsidP="00611190">
      <w:pPr>
        <w:rPr>
          <w:lang w:val="en-GB"/>
        </w:rPr>
      </w:pPr>
    </w:p>
    <w:p w:rsidR="00611190" w:rsidRDefault="00611190" w:rsidP="00611190">
      <w:pPr>
        <w:pStyle w:val="Header"/>
        <w:tabs>
          <w:tab w:val="clear" w:pos="4320"/>
          <w:tab w:val="clear" w:pos="8640"/>
        </w:tabs>
        <w:spacing w:line="480" w:lineRule="auto"/>
        <w:rPr>
          <w:lang w:val="en-GB"/>
        </w:rPr>
      </w:pPr>
    </w:p>
    <w:p w:rsidR="00611190" w:rsidRDefault="00611190" w:rsidP="00611190">
      <w:pPr>
        <w:spacing w:line="360" w:lineRule="auto"/>
        <w:jc w:val="both"/>
        <w:rPr>
          <w:b/>
        </w:rPr>
      </w:pPr>
      <w:r>
        <w:rPr>
          <w:b/>
        </w:rPr>
        <w:t xml:space="preserve">The SEC represents a large number of barristers operating in criminal and civil law who </w:t>
      </w:r>
      <w:proofErr w:type="spellStart"/>
      <w:r>
        <w:rPr>
          <w:b/>
        </w:rPr>
        <w:t>practise</w:t>
      </w:r>
      <w:proofErr w:type="spellEnd"/>
      <w:r>
        <w:rPr>
          <w:b/>
        </w:rPr>
        <w:t xml:space="preserve"> on the South-Eastern Circuit. The SEC is committed to maintaining the highest standards of integrity, professionalism and skill at the Bar.</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1:</w:t>
      </w:r>
      <w:r>
        <w:rPr>
          <w:b/>
          <w:lang w:val="en-GB"/>
        </w:rPr>
        <w:t xml:space="preserve"> </w:t>
      </w:r>
      <w:r>
        <w:rPr>
          <w:b/>
          <w:bCs/>
        </w:rPr>
        <w:t>Do you agree that steps should be taken to address inadequate advocacy performance?</w:t>
      </w:r>
    </w:p>
    <w:p w:rsidR="00611190" w:rsidRDefault="00611190" w:rsidP="00611190">
      <w:pPr>
        <w:autoSpaceDE w:val="0"/>
        <w:autoSpaceDN w:val="0"/>
        <w:adjustRightInd w:val="0"/>
        <w:spacing w:line="360" w:lineRule="auto"/>
        <w:rPr>
          <w:b/>
          <w:bCs/>
          <w:u w:val="single"/>
        </w:rPr>
      </w:pPr>
    </w:p>
    <w:p w:rsidR="00611190" w:rsidRDefault="00611190" w:rsidP="00611190">
      <w:pPr>
        <w:spacing w:line="480" w:lineRule="auto"/>
        <w:jc w:val="both"/>
        <w:rPr>
          <w:b/>
          <w:bCs/>
        </w:rPr>
      </w:pPr>
      <w:r>
        <w:rPr>
          <w:b/>
          <w:u w:val="single"/>
          <w:lang w:val="en-GB"/>
        </w:rPr>
        <w:t xml:space="preserve">Question 2: </w:t>
      </w:r>
      <w:r>
        <w:rPr>
          <w:b/>
          <w:bCs/>
        </w:rPr>
        <w:t>Do you agree that the scheme should be implemented and operated as described?</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 xml:space="preserve">We regard it as self-evident that steps should be taken to address </w:t>
      </w:r>
      <w:r w:rsidR="009946FD">
        <w:rPr>
          <w:lang w:val="en-GB"/>
        </w:rPr>
        <w:t>inadequate advocacy performance and in broad terms we think that a grading system is the appropriate solution.</w:t>
      </w:r>
      <w:r>
        <w:rPr>
          <w:lang w:val="en-GB"/>
        </w:rPr>
        <w:t xml:space="preserve"> By way of preamble, (1) it is obviously a matter of concern that “</w:t>
      </w:r>
      <w:r>
        <w:rPr>
          <w:i/>
          <w:lang w:val="en-GB"/>
        </w:rPr>
        <w:t>the changing face of the legal landscape coupled with competition and commercial imperatives are putting pressure on the sustained provision of good quality advocacy.</w:t>
      </w:r>
      <w:r>
        <w:rPr>
          <w:lang w:val="en-GB"/>
        </w:rPr>
        <w:t>”  We would have found it helpful to have had more detail of this so as to ensure that steps to quality assure advocacy are directed where they are most needed; (2) we regret that it was not possible to provide even a range of figures for the potential cost of the proposed scheme</w:t>
      </w:r>
      <w:r w:rsidR="00FE7F19">
        <w:rPr>
          <w:lang w:val="en-GB"/>
        </w:rPr>
        <w:t>;</w:t>
      </w:r>
      <w:r>
        <w:rPr>
          <w:lang w:val="en-GB"/>
        </w:rPr>
        <w:t xml:space="preserve"> (</w:t>
      </w:r>
      <w:r w:rsidR="00FE7F19">
        <w:rPr>
          <w:lang w:val="en-GB"/>
        </w:rPr>
        <w:t xml:space="preserve">3) </w:t>
      </w:r>
      <w:r w:rsidR="000D266C">
        <w:rPr>
          <w:lang w:val="en-GB"/>
        </w:rPr>
        <w:t>a</w:t>
      </w:r>
      <w:r w:rsidR="00FE7F19">
        <w:rPr>
          <w:lang w:val="en-GB"/>
        </w:rPr>
        <w:t>ny</w:t>
      </w:r>
      <w:r>
        <w:rPr>
          <w:lang w:val="en-GB"/>
        </w:rPr>
        <w:t xml:space="preserve"> QAA </w:t>
      </w:r>
      <w:r w:rsidR="00FE7F19">
        <w:rPr>
          <w:lang w:val="en-GB"/>
        </w:rPr>
        <w:t xml:space="preserve">scheme </w:t>
      </w:r>
      <w:r>
        <w:rPr>
          <w:lang w:val="en-GB"/>
        </w:rPr>
        <w:t xml:space="preserve">should explicitly acknowledge that the performance of advocacy involves the exercise of judgment as </w:t>
      </w:r>
      <w:r>
        <w:rPr>
          <w:lang w:val="en-GB"/>
        </w:rPr>
        <w:lastRenderedPageBreak/>
        <w:t>to which reasonable people may differ, and that the performance of advocacy free from improper pressures is of vital importance in a free society.</w:t>
      </w:r>
    </w:p>
    <w:p w:rsidR="00611190" w:rsidRDefault="00611190" w:rsidP="00611190">
      <w:pPr>
        <w:spacing w:line="480" w:lineRule="auto"/>
        <w:jc w:val="both"/>
        <w:rPr>
          <w:lang w:val="en-GB"/>
        </w:rPr>
      </w:pPr>
    </w:p>
    <w:p w:rsidR="00611190" w:rsidRDefault="00611190" w:rsidP="00611190">
      <w:pPr>
        <w:spacing w:line="480" w:lineRule="auto"/>
        <w:jc w:val="both"/>
        <w:rPr>
          <w:b/>
          <w:bCs/>
          <w:u w:val="single"/>
        </w:rPr>
      </w:pPr>
      <w:r>
        <w:rPr>
          <w:b/>
          <w:u w:val="single"/>
          <w:lang w:val="en-GB"/>
        </w:rPr>
        <w:t>Question 3</w:t>
      </w:r>
      <w:r>
        <w:rPr>
          <w:b/>
          <w:lang w:val="en-GB"/>
        </w:rPr>
        <w:t>:</w:t>
      </w:r>
      <w:r>
        <w:rPr>
          <w:b/>
          <w:bCs/>
        </w:rPr>
        <w:t xml:space="preserve"> Do you agree that there should be a review of the final QAA scheme after three years of its operation?</w:t>
      </w:r>
    </w:p>
    <w:p w:rsidR="00611190" w:rsidRDefault="00611190" w:rsidP="00611190">
      <w:pPr>
        <w:spacing w:line="480" w:lineRule="auto"/>
        <w:jc w:val="both"/>
        <w:rPr>
          <w:u w:val="single"/>
          <w:lang w:val="en-GB"/>
        </w:rPr>
      </w:pPr>
    </w:p>
    <w:p w:rsidR="00611190" w:rsidRDefault="00611190" w:rsidP="00611190">
      <w:pPr>
        <w:spacing w:line="480" w:lineRule="auto"/>
        <w:jc w:val="both"/>
        <w:rPr>
          <w:lang w:val="en-GB"/>
        </w:rPr>
      </w:pPr>
      <w:r>
        <w:rPr>
          <w:lang w:val="en-GB"/>
        </w:rPr>
        <w:t>We agree that any scheme should be reviewed after 3 years.  We think it is important that the procedures and record-keeping in place from inception are such that a review would be as straightforward as possible. After 3 years it should not be necessary to gather evidence for a review. It should already have been collated.</w:t>
      </w:r>
    </w:p>
    <w:p w:rsidR="00611190" w:rsidRDefault="00611190" w:rsidP="00611190">
      <w:pPr>
        <w:autoSpaceDE w:val="0"/>
        <w:autoSpaceDN w:val="0"/>
        <w:adjustRightInd w:val="0"/>
        <w:spacing w:line="360" w:lineRule="auto"/>
        <w:rPr>
          <w:b/>
          <w:u w:val="single"/>
          <w:lang w:val="en-GB"/>
        </w:rPr>
      </w:pPr>
    </w:p>
    <w:p w:rsidR="00611190" w:rsidRDefault="00611190" w:rsidP="00611190">
      <w:pPr>
        <w:autoSpaceDE w:val="0"/>
        <w:autoSpaceDN w:val="0"/>
        <w:adjustRightInd w:val="0"/>
        <w:spacing w:line="360" w:lineRule="auto"/>
        <w:rPr>
          <w:b/>
          <w:bCs/>
        </w:rPr>
      </w:pPr>
      <w:r>
        <w:rPr>
          <w:b/>
          <w:u w:val="single"/>
          <w:lang w:val="en-GB"/>
        </w:rPr>
        <w:t>Question 4</w:t>
      </w:r>
      <w:r>
        <w:rPr>
          <w:b/>
          <w:lang w:val="en-GB"/>
        </w:rPr>
        <w:t xml:space="preserve">: </w:t>
      </w:r>
      <w:r>
        <w:rPr>
          <w:b/>
          <w:bCs/>
        </w:rPr>
        <w:t>Do you agree that there should be a unified approach to the training and assessment process of all advocates from Level 1 upwards? If so, how quickly do you think the regulators should move towards this goal?</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We think that the professions should be free to choose which methods they use to train to levels 1 and 2.  However, the assessment of advocates should obviously be to common standards across the professions.</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b/>
          <w:bCs/>
          <w:u w:val="single"/>
        </w:rPr>
      </w:pPr>
      <w:r>
        <w:rPr>
          <w:b/>
          <w:u w:val="single"/>
          <w:lang w:val="en-GB"/>
        </w:rPr>
        <w:t>Question 5</w:t>
      </w:r>
      <w:r>
        <w:rPr>
          <w:rFonts w:ascii="Arial" w:hAnsi="Arial" w:cs="Arial"/>
          <w:b/>
          <w:bCs/>
        </w:rPr>
        <w:t>:</w:t>
      </w:r>
      <w:r>
        <w:rPr>
          <w:b/>
          <w:bCs/>
        </w:rPr>
        <w:t xml:space="preserve"> Do you think advocates should complete a minimum period of practice at Level 1 before being able to move to Level 2?</w:t>
      </w:r>
      <w:r>
        <w:rPr>
          <w:b/>
          <w:bCs/>
          <w:u w:val="single"/>
        </w:rPr>
        <w:t xml:space="preserve"> </w:t>
      </w:r>
    </w:p>
    <w:p w:rsidR="00611190" w:rsidRDefault="00611190" w:rsidP="00611190">
      <w:pPr>
        <w:autoSpaceDE w:val="0"/>
        <w:autoSpaceDN w:val="0"/>
        <w:adjustRightInd w:val="0"/>
        <w:spacing w:line="360" w:lineRule="auto"/>
        <w:rPr>
          <w:b/>
          <w:bCs/>
          <w:u w:val="single"/>
        </w:rPr>
      </w:pPr>
    </w:p>
    <w:p w:rsidR="00611190" w:rsidRDefault="00611190" w:rsidP="00611190">
      <w:pPr>
        <w:autoSpaceDE w:val="0"/>
        <w:autoSpaceDN w:val="0"/>
        <w:adjustRightInd w:val="0"/>
        <w:spacing w:line="360" w:lineRule="auto"/>
        <w:rPr>
          <w:b/>
          <w:bCs/>
        </w:rPr>
      </w:pPr>
      <w:r>
        <w:rPr>
          <w:b/>
          <w:bCs/>
          <w:u w:val="single"/>
        </w:rPr>
        <w:t>Question 6</w:t>
      </w:r>
      <w:r>
        <w:rPr>
          <w:b/>
          <w:bCs/>
        </w:rPr>
        <w:t>: If so, what period would be most appropriate?</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 xml:space="preserve">We think that fairness demands that those who are trained to the same standard should be able to perform the same tasks at the same stages.  In our view, barristers </w:t>
      </w:r>
      <w:r>
        <w:rPr>
          <w:lang w:val="en-GB"/>
        </w:rPr>
        <w:lastRenderedPageBreak/>
        <w:t xml:space="preserve">should be permitted to undertake level 1 and 2 </w:t>
      </w:r>
      <w:proofErr w:type="gramStart"/>
      <w:r>
        <w:rPr>
          <w:lang w:val="en-GB"/>
        </w:rPr>
        <w:t>work</w:t>
      </w:r>
      <w:proofErr w:type="gramEnd"/>
      <w:r>
        <w:rPr>
          <w:lang w:val="en-GB"/>
        </w:rPr>
        <w:t xml:space="preserve"> after completion of 6 months’ </w:t>
      </w:r>
      <w:proofErr w:type="spellStart"/>
      <w:r>
        <w:rPr>
          <w:lang w:val="en-GB"/>
        </w:rPr>
        <w:t>pupillage</w:t>
      </w:r>
      <w:proofErr w:type="spellEnd"/>
      <w:r>
        <w:rPr>
          <w:lang w:val="en-GB"/>
        </w:rPr>
        <w:t>. We think that this is appropriate in light of the na</w:t>
      </w:r>
      <w:r w:rsidR="00A335C8">
        <w:rPr>
          <w:lang w:val="en-GB"/>
        </w:rPr>
        <w:t>ture of the training provided during</w:t>
      </w:r>
      <w:r>
        <w:rPr>
          <w:lang w:val="en-GB"/>
        </w:rPr>
        <w:t xml:space="preserve"> the Bar Professional Training Course and </w:t>
      </w:r>
      <w:proofErr w:type="spellStart"/>
      <w:r>
        <w:rPr>
          <w:lang w:val="en-GB"/>
        </w:rPr>
        <w:t>pupillage</w:t>
      </w:r>
      <w:proofErr w:type="spellEnd"/>
      <w:r>
        <w:rPr>
          <w:lang w:val="en-GB"/>
        </w:rPr>
        <w:t xml:space="preserve">.   </w:t>
      </w:r>
    </w:p>
    <w:p w:rsidR="00611190" w:rsidRDefault="00611190" w:rsidP="00611190">
      <w:pPr>
        <w:spacing w:line="480" w:lineRule="auto"/>
        <w:jc w:val="both"/>
        <w:rPr>
          <w:b/>
          <w:u w:val="single"/>
          <w:lang w:val="en-GB"/>
        </w:rPr>
      </w:pPr>
    </w:p>
    <w:p w:rsidR="00611190" w:rsidRDefault="00611190" w:rsidP="00611190">
      <w:pPr>
        <w:spacing w:line="480" w:lineRule="auto"/>
        <w:jc w:val="both"/>
        <w:rPr>
          <w:lang w:val="en-GB"/>
        </w:rPr>
      </w:pPr>
      <w:r>
        <w:rPr>
          <w:b/>
          <w:u w:val="single"/>
          <w:lang w:val="en-GB"/>
        </w:rPr>
        <w:t>Question 7</w:t>
      </w:r>
      <w:r>
        <w:rPr>
          <w:b/>
          <w:lang w:val="en-GB"/>
        </w:rPr>
        <w:t>:</w:t>
      </w:r>
      <w:r>
        <w:rPr>
          <w:b/>
          <w:bCs/>
        </w:rPr>
        <w:t xml:space="preserve"> Do you agree that advocates applying for Levels 3 or 4 should be required to submit additional evidence of their competence? If so, what form do you think this evidence should take?</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 xml:space="preserve">We think that applicants for levels 3 and 4 should be required to provide additional evidence of </w:t>
      </w:r>
      <w:r w:rsidR="001F7613">
        <w:rPr>
          <w:lang w:val="en-GB"/>
        </w:rPr>
        <w:t xml:space="preserve">their competence.  It is </w:t>
      </w:r>
      <w:r>
        <w:rPr>
          <w:lang w:val="en-GB"/>
        </w:rPr>
        <w:t>artificial to have a grading system of cases and advocates without acknowledgin</w:t>
      </w:r>
      <w:r w:rsidR="00A335C8">
        <w:rPr>
          <w:lang w:val="en-GB"/>
        </w:rPr>
        <w:t>g that there are many aspects to</w:t>
      </w:r>
      <w:r>
        <w:rPr>
          <w:lang w:val="en-GB"/>
        </w:rPr>
        <w:t xml:space="preserve"> an advocate’s role.  For le</w:t>
      </w:r>
      <w:r w:rsidR="00A335C8">
        <w:rPr>
          <w:lang w:val="en-GB"/>
        </w:rPr>
        <w:t>vels 3 and 4, some evidence would</w:t>
      </w:r>
      <w:r>
        <w:rPr>
          <w:lang w:val="en-GB"/>
        </w:rPr>
        <w:t xml:space="preserve"> obviously be required of an advocate’s written work and of ability to work with clients/as part of a team.  References from professional clients and </w:t>
      </w:r>
      <w:proofErr w:type="spellStart"/>
      <w:r>
        <w:rPr>
          <w:lang w:val="en-GB"/>
        </w:rPr>
        <w:t>anonymised</w:t>
      </w:r>
      <w:proofErr w:type="spellEnd"/>
      <w:r>
        <w:rPr>
          <w:lang w:val="en-GB"/>
        </w:rPr>
        <w:t xml:space="preserve"> written work should be provid</w:t>
      </w:r>
      <w:r w:rsidR="00A176E7">
        <w:rPr>
          <w:lang w:val="en-GB"/>
        </w:rPr>
        <w:t>ed.  The alternative is that a</w:t>
      </w:r>
      <w:r>
        <w:rPr>
          <w:lang w:val="en-GB"/>
        </w:rPr>
        <w:t xml:space="preserve"> QAA scheme would have to be explicit that a grading was no evidence of an advocate’s competence to do anything other than courtroom advocacy.</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8</w:t>
      </w:r>
      <w:r>
        <w:rPr>
          <w:b/>
          <w:lang w:val="en-GB"/>
        </w:rPr>
        <w:t xml:space="preserve">: </w:t>
      </w:r>
      <w:r>
        <w:rPr>
          <w:b/>
          <w:bCs/>
        </w:rPr>
        <w:t xml:space="preserve"> Do you agree with the levels approach to the QAA scheme?</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r>
        <w:rPr>
          <w:b/>
          <w:bCs/>
          <w:u w:val="single"/>
        </w:rPr>
        <w:t>Question 9</w:t>
      </w:r>
      <w:r>
        <w:rPr>
          <w:b/>
          <w:bCs/>
        </w:rPr>
        <w:t>: Do you support the approach to accreditation at each level?</w:t>
      </w:r>
    </w:p>
    <w:p w:rsidR="00611190" w:rsidRDefault="00611190" w:rsidP="00611190">
      <w:pPr>
        <w:spacing w:line="480" w:lineRule="auto"/>
        <w:jc w:val="both"/>
        <w:rPr>
          <w:u w:val="single"/>
          <w:lang w:val="en-GB"/>
        </w:rPr>
      </w:pPr>
    </w:p>
    <w:p w:rsidR="00611190" w:rsidRDefault="00611190" w:rsidP="00611190">
      <w:pPr>
        <w:spacing w:line="480" w:lineRule="auto"/>
        <w:jc w:val="both"/>
        <w:rPr>
          <w:lang w:val="en-GB"/>
        </w:rPr>
      </w:pPr>
      <w:r>
        <w:rPr>
          <w:lang w:val="en-GB"/>
        </w:rPr>
        <w:t xml:space="preserve">We agree with </w:t>
      </w:r>
      <w:r>
        <w:rPr>
          <w:u w:val="single"/>
          <w:lang w:val="en-GB"/>
        </w:rPr>
        <w:t>a</w:t>
      </w:r>
      <w:r>
        <w:rPr>
          <w:lang w:val="en-GB"/>
        </w:rPr>
        <w:t xml:space="preserve"> levels approach to any QAA scheme, but in our view the levels should not include </w:t>
      </w:r>
      <w:r w:rsidR="001F7613">
        <w:rPr>
          <w:lang w:val="en-GB"/>
        </w:rPr>
        <w:t xml:space="preserve">the most serious </w:t>
      </w:r>
      <w:r>
        <w:rPr>
          <w:lang w:val="en-GB"/>
        </w:rPr>
        <w:t xml:space="preserve">work which is only appropriate for Queen’s </w:t>
      </w:r>
      <w:r>
        <w:rPr>
          <w:lang w:val="en-GB"/>
        </w:rPr>
        <w:lastRenderedPageBreak/>
        <w:t xml:space="preserve">Counsel, nor should Queen’s Counsel be included in the scheme for the reasons developed in answer to questions 15 - 17 below. </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rFonts w:ascii="Arial" w:hAnsi="Arial" w:cs="Arial"/>
          <w:b/>
          <w:bCs/>
        </w:rPr>
      </w:pPr>
      <w:r>
        <w:rPr>
          <w:b/>
          <w:u w:val="single"/>
          <w:lang w:val="en-GB"/>
        </w:rPr>
        <w:t>Question 10</w:t>
      </w:r>
      <w:r>
        <w:rPr>
          <w:b/>
          <w:lang w:val="en-GB"/>
        </w:rPr>
        <w:t>:</w:t>
      </w:r>
      <w:r>
        <w:rPr>
          <w:b/>
          <w:bCs/>
        </w:rPr>
        <w:t xml:space="preserve"> Do you have any comments on the proposed arrangements to bring existing criminal advocates within the levels?</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There is an obvious risk that some advocates will assess themselves at an inappropriate level for the purposes of interim arrangements.  Where an advocate is a member of a set of chambers, it may be that the Head of Chambers could approve the interim grading.  Comparable arrangements could be made for solicitors and employed advocates. It may be that Bar Mark and LSC contracts could include the necessary procedures.  Sole practitioners might have to provide a reference.</w:t>
      </w:r>
    </w:p>
    <w:p w:rsidR="00611190" w:rsidRDefault="00611190" w:rsidP="00611190">
      <w:pPr>
        <w:spacing w:line="480" w:lineRule="auto"/>
        <w:jc w:val="both"/>
        <w:rPr>
          <w:b/>
          <w:u w:val="single"/>
          <w:lang w:val="en-GB"/>
        </w:rPr>
      </w:pPr>
    </w:p>
    <w:p w:rsidR="00611190" w:rsidRDefault="00611190" w:rsidP="00611190">
      <w:pPr>
        <w:spacing w:line="480" w:lineRule="auto"/>
        <w:jc w:val="both"/>
        <w:rPr>
          <w:b/>
          <w:bCs/>
        </w:rPr>
      </w:pPr>
      <w:r>
        <w:rPr>
          <w:b/>
          <w:u w:val="single"/>
          <w:lang w:val="en-GB"/>
        </w:rPr>
        <w:t>Question 11:</w:t>
      </w:r>
      <w:r>
        <w:rPr>
          <w:b/>
          <w:lang w:val="en-GB"/>
        </w:rPr>
        <w:t xml:space="preserve"> </w:t>
      </w:r>
      <w:r>
        <w:rPr>
          <w:b/>
          <w:bCs/>
        </w:rPr>
        <w:t>Do you think that an advocate’s ‘level’ should lapse after a defined period of absence from practice?</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 xml:space="preserve">We think that save in exceptional circumstances an advocate’s level should lapse after 3 years’ absence from practice. </w:t>
      </w:r>
    </w:p>
    <w:p w:rsidR="00611190" w:rsidRDefault="00611190" w:rsidP="00611190">
      <w:pPr>
        <w:spacing w:line="480" w:lineRule="auto"/>
        <w:jc w:val="both"/>
        <w:rPr>
          <w:b/>
          <w:bCs/>
        </w:rPr>
      </w:pPr>
      <w:r>
        <w:rPr>
          <w:b/>
          <w:u w:val="single"/>
          <w:lang w:val="en-GB"/>
        </w:rPr>
        <w:t xml:space="preserve">Question 12: </w:t>
      </w:r>
      <w:r>
        <w:rPr>
          <w:b/>
          <w:bCs/>
        </w:rPr>
        <w:t>Do you have any views on the proposed arrangements for movement between levels?</w:t>
      </w:r>
    </w:p>
    <w:p w:rsidR="00611190" w:rsidRDefault="00611190" w:rsidP="00611190">
      <w:pPr>
        <w:spacing w:line="480" w:lineRule="auto"/>
        <w:jc w:val="both"/>
        <w:rPr>
          <w:b/>
          <w:lang w:val="en-GB"/>
        </w:rPr>
      </w:pPr>
    </w:p>
    <w:p w:rsidR="00611190" w:rsidRDefault="00611190" w:rsidP="00611190">
      <w:pPr>
        <w:spacing w:line="480" w:lineRule="auto"/>
        <w:jc w:val="both"/>
        <w:rPr>
          <w:b/>
          <w:lang w:val="en-GB"/>
        </w:rPr>
      </w:pPr>
      <w:r>
        <w:rPr>
          <w:b/>
          <w:u w:val="single"/>
          <w:lang w:val="en-GB"/>
        </w:rPr>
        <w:t>Question 13</w:t>
      </w:r>
      <w:r>
        <w:rPr>
          <w:b/>
          <w:lang w:val="en-GB"/>
        </w:rPr>
        <w:t>:</w:t>
      </w:r>
      <w:r>
        <w:rPr>
          <w:b/>
          <w:bCs/>
        </w:rPr>
        <w:t xml:space="preserve"> Do you think that judges should be given the discretion to allow advocates to act up a level?</w:t>
      </w:r>
      <w:r>
        <w:rPr>
          <w:b/>
          <w:lang w:val="en-GB"/>
        </w:rPr>
        <w:t xml:space="preserve"> </w:t>
      </w:r>
    </w:p>
    <w:p w:rsidR="00611190" w:rsidRDefault="00611190" w:rsidP="00611190">
      <w:pPr>
        <w:spacing w:line="480" w:lineRule="auto"/>
        <w:jc w:val="both"/>
        <w:rPr>
          <w:b/>
          <w:lang w:val="en-GB"/>
        </w:rPr>
      </w:pPr>
    </w:p>
    <w:p w:rsidR="00611190" w:rsidRDefault="00611190" w:rsidP="00611190">
      <w:pPr>
        <w:autoSpaceDE w:val="0"/>
        <w:autoSpaceDN w:val="0"/>
        <w:adjustRightInd w:val="0"/>
        <w:spacing w:line="360" w:lineRule="auto"/>
        <w:rPr>
          <w:b/>
          <w:bCs/>
          <w:u w:val="single"/>
        </w:rPr>
      </w:pPr>
      <w:r>
        <w:rPr>
          <w:b/>
          <w:u w:val="single"/>
          <w:lang w:val="en-GB"/>
        </w:rPr>
        <w:lastRenderedPageBreak/>
        <w:t>Question 14:</w:t>
      </w:r>
      <w:r>
        <w:rPr>
          <w:b/>
          <w:bCs/>
        </w:rPr>
        <w:t xml:space="preserve"> If so, do you think the safeguards suggested are sufficient? Are there any other safeguards that should be considered?</w:t>
      </w:r>
    </w:p>
    <w:p w:rsidR="00611190" w:rsidRDefault="00611190" w:rsidP="00611190">
      <w:pPr>
        <w:spacing w:line="480" w:lineRule="auto"/>
        <w:jc w:val="both"/>
        <w:rPr>
          <w:lang w:val="en-GB"/>
        </w:rPr>
      </w:pPr>
    </w:p>
    <w:p w:rsidR="00461F85" w:rsidRDefault="00611190" w:rsidP="00611190">
      <w:pPr>
        <w:spacing w:line="480" w:lineRule="auto"/>
        <w:jc w:val="both"/>
        <w:rPr>
          <w:lang w:val="en-GB"/>
        </w:rPr>
      </w:pPr>
      <w:r>
        <w:rPr>
          <w:lang w:val="en-GB"/>
        </w:rPr>
        <w:t xml:space="preserve">We agree with proposed movement between levels.  We think that Judges should be given </w:t>
      </w:r>
      <w:proofErr w:type="gramStart"/>
      <w:r>
        <w:rPr>
          <w:lang w:val="en-GB"/>
        </w:rPr>
        <w:t>a discretion</w:t>
      </w:r>
      <w:proofErr w:type="gramEnd"/>
      <w:r>
        <w:rPr>
          <w:lang w:val="en-GB"/>
        </w:rPr>
        <w:t xml:space="preserve"> to allow advocates to act up a level in exceptional circumstances.  The application would have to be made at the PCMH or earlier so as to avoid disruption if refused.  The number of permissible requests should be limited.  Where an application is granted,</w:t>
      </w:r>
      <w:r w:rsidR="00461F85">
        <w:rPr>
          <w:lang w:val="en-GB"/>
        </w:rPr>
        <w:t xml:space="preserve"> it seems to us that the Judge should </w:t>
      </w:r>
      <w:r>
        <w:rPr>
          <w:lang w:val="en-GB"/>
        </w:rPr>
        <w:t>express a view after the case to the PAC or equivalent as to the competence or otherwise of the advocate at the higher level.  This information should be readily available to any Judge considering</w:t>
      </w:r>
      <w:r w:rsidR="00A176E7">
        <w:rPr>
          <w:lang w:val="en-GB"/>
        </w:rPr>
        <w:t xml:space="preserve"> any subsequent application to act up. </w:t>
      </w:r>
      <w:r>
        <w:rPr>
          <w:lang w:val="en-GB"/>
        </w:rPr>
        <w:t>The advocate should be under a duty to disclose such information when making any f</w:t>
      </w:r>
      <w:r w:rsidR="00461F85">
        <w:rPr>
          <w:lang w:val="en-GB"/>
        </w:rPr>
        <w:t xml:space="preserve">urther application to act up.  </w:t>
      </w:r>
    </w:p>
    <w:p w:rsidR="00461F85" w:rsidRDefault="00461F85" w:rsidP="00611190">
      <w:pPr>
        <w:spacing w:line="480" w:lineRule="auto"/>
        <w:jc w:val="both"/>
        <w:rPr>
          <w:lang w:val="en-GB"/>
        </w:rPr>
      </w:pPr>
    </w:p>
    <w:p w:rsidR="00611190" w:rsidRDefault="00611190" w:rsidP="00611190">
      <w:pPr>
        <w:spacing w:line="480" w:lineRule="auto"/>
        <w:jc w:val="both"/>
        <w:rPr>
          <w:lang w:val="en-GB"/>
        </w:rPr>
      </w:pPr>
      <w:r>
        <w:rPr>
          <w:lang w:val="en-GB"/>
        </w:rPr>
        <w:t>If the Judge’s view is adverse, it is hard to see why this view should not be made available to the</w:t>
      </w:r>
      <w:r w:rsidR="001F7613">
        <w:rPr>
          <w:lang w:val="en-GB"/>
        </w:rPr>
        <w:t xml:space="preserve"> lay and professional client</w:t>
      </w:r>
      <w:r>
        <w:rPr>
          <w:lang w:val="en-GB"/>
        </w:rPr>
        <w:t>.</w:t>
      </w:r>
      <w:r w:rsidR="001F7613">
        <w:rPr>
          <w:lang w:val="en-GB"/>
        </w:rPr>
        <w:t xml:space="preserve"> A defendant </w:t>
      </w:r>
      <w:r>
        <w:rPr>
          <w:lang w:val="en-GB"/>
        </w:rPr>
        <w:t xml:space="preserve">must be entitled to know if in the Judge’s view he was not competently represented so that he can consider whether or not to pursue this aspect as a ground of appeal.  </w:t>
      </w:r>
    </w:p>
    <w:p w:rsidR="001F7613" w:rsidRDefault="001F7613"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15:</w:t>
      </w:r>
      <w:r>
        <w:rPr>
          <w:b/>
          <w:lang w:val="en-GB"/>
        </w:rPr>
        <w:t xml:space="preserve"> </w:t>
      </w:r>
      <w:r>
        <w:rPr>
          <w:b/>
          <w:bCs/>
        </w:rPr>
        <w:t>Do you agree with re-accreditation every five years?</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r>
        <w:rPr>
          <w:b/>
          <w:bCs/>
          <w:u w:val="single"/>
        </w:rPr>
        <w:t>Question 16</w:t>
      </w:r>
      <w:r>
        <w:rPr>
          <w:b/>
          <w:bCs/>
        </w:rPr>
        <w:t>: Do you have any comments on the proposed approach to re-accreditation?</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r>
        <w:rPr>
          <w:b/>
          <w:bCs/>
          <w:u w:val="single"/>
        </w:rPr>
        <w:t>Question 17</w:t>
      </w:r>
      <w:r>
        <w:rPr>
          <w:b/>
          <w:bCs/>
        </w:rPr>
        <w:t>: Do you agree that QCs should not be exempt from the re-accreditation process?</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lastRenderedPageBreak/>
        <w:t>In a QAA system re-accreditation would be necessary. 5 years is an appropriate period. We are strongly of the view that the process should not apply to QCs.  QCs are already subject to comprehensive assessment before appointment.  There is no evidence provided to suggest that they need to be subject to a system of the kind proposed or that any of the concerns expressed relate to QCs. QCs are almost inevitably seen by the selecting professional – see paragraph 7 of the consultation paper. The reality is that if QCs are included in a QAA scheme, it will be seen as an alternative but less demanding means of taking Silk.  The grading would also be open to abuse. It is not easy to see why a defendant, in a case which merited a QC, would choose to be represented by someone who was merely competent to do so rather than by someone who had been assessed as excellent.</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18:</w:t>
      </w:r>
      <w:r>
        <w:rPr>
          <w:b/>
          <w:bCs/>
        </w:rPr>
        <w:t xml:space="preserve"> Do you have any comments on the proposed ‘traffic lights’ system?</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u w:val="single"/>
        </w:rPr>
      </w:pPr>
      <w:r>
        <w:rPr>
          <w:b/>
          <w:bCs/>
          <w:u w:val="single"/>
        </w:rPr>
        <w:t xml:space="preserve">Question 19: </w:t>
      </w:r>
      <w:r>
        <w:rPr>
          <w:b/>
          <w:bCs/>
        </w:rPr>
        <w:t>Do you think that non-judicial references should be permitted by a) clients, b) solicitors/barristers or c) other professionals?</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We can see the theoretical advantages of a traffic light system but we have real concerns as to how it might operate. If there is to be a traffic light system, it would have to be open to all Judges to make an adv</w:t>
      </w:r>
      <w:r w:rsidR="001F7613">
        <w:rPr>
          <w:lang w:val="en-GB"/>
        </w:rPr>
        <w:t xml:space="preserve">erse report.  It would be </w:t>
      </w:r>
      <w:proofErr w:type="gramStart"/>
      <w:r w:rsidR="001F7613">
        <w:rPr>
          <w:lang w:val="en-GB"/>
        </w:rPr>
        <w:t xml:space="preserve">unsatisfactory </w:t>
      </w:r>
      <w:r>
        <w:rPr>
          <w:lang w:val="en-GB"/>
        </w:rPr>
        <w:t xml:space="preserve"> if</w:t>
      </w:r>
      <w:proofErr w:type="gramEnd"/>
      <w:r>
        <w:rPr>
          <w:lang w:val="en-GB"/>
        </w:rPr>
        <w:t xml:space="preserve"> inadequate performance could only be marked when it occurred in front of one Judge but not in front of another. However, experience suggest</w:t>
      </w:r>
      <w:r w:rsidR="00461F85">
        <w:rPr>
          <w:lang w:val="en-GB"/>
        </w:rPr>
        <w:t>s</w:t>
      </w:r>
      <w:r>
        <w:rPr>
          <w:lang w:val="en-GB"/>
        </w:rPr>
        <w:t xml:space="preserve"> that some Judges are much quicker to find fault, sometimes unnecessarily, than others. We think that </w:t>
      </w:r>
      <w:r>
        <w:rPr>
          <w:lang w:val="en-GB"/>
        </w:rPr>
        <w:lastRenderedPageBreak/>
        <w:t xml:space="preserve">all Judges would need to be trained in the traffic light system. The wasted costs jurisdiction shows how difficult judicial criticism of advocates can be. </w:t>
      </w:r>
    </w:p>
    <w:p w:rsidR="00611190" w:rsidRDefault="00611190" w:rsidP="00611190">
      <w:pPr>
        <w:spacing w:line="480" w:lineRule="auto"/>
        <w:jc w:val="both"/>
        <w:rPr>
          <w:lang w:val="en-GB"/>
        </w:rPr>
      </w:pPr>
    </w:p>
    <w:p w:rsidR="00461F85" w:rsidRDefault="00611190" w:rsidP="00611190">
      <w:pPr>
        <w:spacing w:line="480" w:lineRule="auto"/>
        <w:jc w:val="both"/>
        <w:rPr>
          <w:lang w:val="en-GB"/>
        </w:rPr>
      </w:pPr>
      <w:r>
        <w:rPr>
          <w:lang w:val="en-GB"/>
        </w:rPr>
        <w:t xml:space="preserve"> We think that a warning flag should become “spent” after, say, 18 months if there are no other concerns during that period. We do not think that non-judicial references should be permitted because of the risk of abuse.  Anyone who wants to do so can always make a complaint to an advocate’s regulatory body about inadequate performance.  There would obviously have to be liaison between the PAC </w:t>
      </w:r>
      <w:proofErr w:type="gramStart"/>
      <w:r>
        <w:rPr>
          <w:lang w:val="en-GB"/>
        </w:rPr>
        <w:t>or</w:t>
      </w:r>
      <w:proofErr w:type="gramEnd"/>
      <w:r>
        <w:rPr>
          <w:lang w:val="en-GB"/>
        </w:rPr>
        <w:t xml:space="preserve"> equivalent and disciplinary bodies.  It seems to us that an assessment of inadequate performance should be made available to the professional and lay client. However, before any such conclusion is reached, we think that the advocate should have the opportunity to respond to a provisional assessment.</w:t>
      </w:r>
      <w:r w:rsidR="00461F85">
        <w:rPr>
          <w:lang w:val="en-GB"/>
        </w:rPr>
        <w:t xml:space="preserve"> </w:t>
      </w:r>
    </w:p>
    <w:p w:rsidR="001F7613" w:rsidRDefault="001F7613"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20:</w:t>
      </w:r>
      <w:r>
        <w:rPr>
          <w:b/>
          <w:lang w:val="en-GB"/>
        </w:rPr>
        <w:t xml:space="preserve"> </w:t>
      </w:r>
      <w:r>
        <w:rPr>
          <w:b/>
          <w:bCs/>
        </w:rPr>
        <w:t>Do you support the proposed central role that the judiciary will play in the QAA scheme?</w:t>
      </w:r>
    </w:p>
    <w:p w:rsidR="00611190" w:rsidRDefault="00611190" w:rsidP="00611190">
      <w:pPr>
        <w:autoSpaceDE w:val="0"/>
        <w:autoSpaceDN w:val="0"/>
        <w:adjustRightInd w:val="0"/>
        <w:spacing w:line="360" w:lineRule="auto"/>
        <w:rPr>
          <w:rFonts w:ascii="Arial" w:hAnsi="Arial" w:cs="Arial"/>
          <w:b/>
          <w:bCs/>
        </w:rPr>
      </w:pPr>
    </w:p>
    <w:p w:rsidR="00611190" w:rsidRDefault="00611190" w:rsidP="00611190">
      <w:pPr>
        <w:autoSpaceDE w:val="0"/>
        <w:autoSpaceDN w:val="0"/>
        <w:adjustRightInd w:val="0"/>
        <w:spacing w:line="360" w:lineRule="auto"/>
        <w:rPr>
          <w:b/>
          <w:bCs/>
        </w:rPr>
      </w:pPr>
      <w:r>
        <w:rPr>
          <w:b/>
          <w:bCs/>
          <w:u w:val="single"/>
        </w:rPr>
        <w:t>Question 21</w:t>
      </w:r>
      <w:r>
        <w:rPr>
          <w:b/>
          <w:bCs/>
        </w:rPr>
        <w:t>: Do you agree that only Circuit Judges and above should be part of the advocacy assessment process?</w:t>
      </w:r>
    </w:p>
    <w:p w:rsidR="00611190" w:rsidRDefault="00611190" w:rsidP="00611190">
      <w:pPr>
        <w:spacing w:line="480" w:lineRule="auto"/>
        <w:jc w:val="both"/>
        <w:rPr>
          <w:lang w:val="en-GB"/>
        </w:rPr>
      </w:pPr>
    </w:p>
    <w:p w:rsidR="00611190" w:rsidRPr="00461F85" w:rsidRDefault="00611190" w:rsidP="00461F85">
      <w:pPr>
        <w:spacing w:line="480" w:lineRule="auto"/>
        <w:jc w:val="both"/>
        <w:rPr>
          <w:lang w:val="en-GB"/>
        </w:rPr>
      </w:pPr>
      <w:r>
        <w:rPr>
          <w:lang w:val="en-GB"/>
        </w:rPr>
        <w:t xml:space="preserve">There are obvious concerns, but it is hard to see how a </w:t>
      </w:r>
      <w:r w:rsidR="001F7613">
        <w:rPr>
          <w:lang w:val="en-GB"/>
        </w:rPr>
        <w:t xml:space="preserve">really effective </w:t>
      </w:r>
      <w:r>
        <w:rPr>
          <w:lang w:val="en-GB"/>
        </w:rPr>
        <w:t>QAA system could operate without significant judicial involvement. In our view, the role should be open to those who sit in the Crown Court and above and</w:t>
      </w:r>
      <w:r w:rsidR="001F7613">
        <w:rPr>
          <w:lang w:val="en-GB"/>
        </w:rPr>
        <w:t xml:space="preserve"> who are appropriately trained. T</w:t>
      </w:r>
      <w:r>
        <w:rPr>
          <w:lang w:val="en-GB"/>
        </w:rPr>
        <w:t xml:space="preserve">here is an obvious unfairness if an advocate performs well in a demanding case in front of a Judge who is not part of the assessment process. </w:t>
      </w:r>
      <w:r w:rsidR="001F7613">
        <w:rPr>
          <w:lang w:val="en-GB"/>
        </w:rPr>
        <w:t xml:space="preserve">One possibility </w:t>
      </w:r>
      <w:r w:rsidR="001F7613">
        <w:rPr>
          <w:lang w:val="en-GB"/>
        </w:rPr>
        <w:lastRenderedPageBreak/>
        <w:t xml:space="preserve">may be to allow an element of </w:t>
      </w:r>
      <w:r w:rsidR="00FA2C86">
        <w:rPr>
          <w:lang w:val="en-GB"/>
        </w:rPr>
        <w:t xml:space="preserve">the </w:t>
      </w:r>
      <w:r w:rsidR="001F7613">
        <w:rPr>
          <w:lang w:val="en-GB"/>
        </w:rPr>
        <w:t>accreditation requiremen</w:t>
      </w:r>
      <w:r w:rsidR="00FA2C86">
        <w:rPr>
          <w:lang w:val="en-GB"/>
        </w:rPr>
        <w:t>ts to be satisfied by a reference</w:t>
      </w:r>
      <w:r w:rsidR="001F7613">
        <w:rPr>
          <w:lang w:val="en-GB"/>
        </w:rPr>
        <w:t xml:space="preserve"> from </w:t>
      </w:r>
      <w:r w:rsidR="001F7613" w:rsidRPr="00FA2C86">
        <w:rPr>
          <w:u w:val="single"/>
          <w:lang w:val="en-GB"/>
        </w:rPr>
        <w:t>any</w:t>
      </w:r>
      <w:r w:rsidR="001F7613">
        <w:rPr>
          <w:lang w:val="en-GB"/>
        </w:rPr>
        <w:t xml:space="preserve"> Judge.</w:t>
      </w:r>
    </w:p>
    <w:p w:rsidR="00611190" w:rsidRDefault="00611190" w:rsidP="00611190">
      <w:pPr>
        <w:autoSpaceDE w:val="0"/>
        <w:autoSpaceDN w:val="0"/>
        <w:adjustRightInd w:val="0"/>
        <w:spacing w:line="360" w:lineRule="auto"/>
        <w:rPr>
          <w:b/>
          <w:u w:val="single"/>
          <w:lang w:val="en-GB"/>
        </w:rPr>
      </w:pPr>
    </w:p>
    <w:p w:rsidR="00611190" w:rsidRDefault="00611190" w:rsidP="00611190">
      <w:pPr>
        <w:autoSpaceDE w:val="0"/>
        <w:autoSpaceDN w:val="0"/>
        <w:adjustRightInd w:val="0"/>
        <w:spacing w:line="360" w:lineRule="auto"/>
        <w:rPr>
          <w:b/>
          <w:bCs/>
          <w:u w:val="single"/>
        </w:rPr>
      </w:pPr>
      <w:r>
        <w:rPr>
          <w:b/>
          <w:u w:val="single"/>
          <w:lang w:val="en-GB"/>
        </w:rPr>
        <w:t>Question 22</w:t>
      </w:r>
      <w:r>
        <w:rPr>
          <w:b/>
          <w:lang w:val="en-GB"/>
        </w:rPr>
        <w:t xml:space="preserve">: </w:t>
      </w:r>
      <w:r>
        <w:rPr>
          <w:b/>
          <w:bCs/>
        </w:rPr>
        <w:t>Do you have any comments on the financial cost of developing a QAA scheme?</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In the absence of even a range of the possible costs, it is impossible to comment.  We think that some “</w:t>
      </w:r>
      <w:r>
        <w:rPr>
          <w:i/>
          <w:lang w:val="en-GB"/>
        </w:rPr>
        <w:t>weighting</w:t>
      </w:r>
      <w:r>
        <w:rPr>
          <w:lang w:val="en-GB"/>
        </w:rPr>
        <w:t>” would be needed for repeated applications at a particular level by the same applicant so as to ensure that there is a disincentive to hopeless applications.</w:t>
      </w:r>
    </w:p>
    <w:p w:rsidR="00611190" w:rsidRDefault="00611190" w:rsidP="00611190">
      <w:pPr>
        <w:spacing w:line="480" w:lineRule="auto"/>
        <w:jc w:val="both"/>
        <w:rPr>
          <w:b/>
          <w:u w:val="single"/>
          <w:lang w:val="en-GB"/>
        </w:rPr>
      </w:pPr>
    </w:p>
    <w:p w:rsidR="00611190" w:rsidRDefault="00611190" w:rsidP="00611190">
      <w:pPr>
        <w:autoSpaceDE w:val="0"/>
        <w:autoSpaceDN w:val="0"/>
        <w:adjustRightInd w:val="0"/>
        <w:spacing w:line="360" w:lineRule="auto"/>
        <w:rPr>
          <w:b/>
          <w:bCs/>
        </w:rPr>
      </w:pPr>
      <w:r>
        <w:rPr>
          <w:b/>
          <w:u w:val="single"/>
          <w:lang w:val="en-GB"/>
        </w:rPr>
        <w:t>Question 23:</w:t>
      </w:r>
      <w:r>
        <w:rPr>
          <w:b/>
          <w:bCs/>
          <w:u w:val="single"/>
        </w:rPr>
        <w:t xml:space="preserve"> </w:t>
      </w:r>
      <w:r>
        <w:rPr>
          <w:b/>
          <w:bCs/>
        </w:rPr>
        <w:t>We have identified some potentially positive and negative consequences for equality in putting in place the proposed QAA scheme. Are there any other positive benefits? Are there any other negative consequences for any group?  How can we further promote equality and diversity? How can we mitigate any negative consequences?</w:t>
      </w:r>
    </w:p>
    <w:p w:rsidR="00611190" w:rsidRDefault="00611190" w:rsidP="00611190">
      <w:pPr>
        <w:autoSpaceDE w:val="0"/>
        <w:autoSpaceDN w:val="0"/>
        <w:adjustRightInd w:val="0"/>
        <w:spacing w:line="360" w:lineRule="auto"/>
        <w:rPr>
          <w:b/>
          <w:bCs/>
          <w:u w:val="single"/>
        </w:rPr>
      </w:pPr>
    </w:p>
    <w:p w:rsidR="00611190" w:rsidRDefault="00611190" w:rsidP="00611190">
      <w:pPr>
        <w:spacing w:line="480" w:lineRule="auto"/>
        <w:jc w:val="both"/>
        <w:rPr>
          <w:lang w:val="en-GB"/>
        </w:rPr>
      </w:pPr>
      <w:r>
        <w:rPr>
          <w:lang w:val="en-GB"/>
        </w:rPr>
        <w:t>We think that the possibility of independent assessment by appropriately trained assessors is an important factor in ensuring the overall fairness of the operation of the scheme.  The equality impact assessment would need to continue after the system comes into operation.  It is important for all practitioners that any QAA scheme expressly acknowledges that styles of advocacy differ and that this is to the benefit of the criminal justice system.</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rPr>
          <w:b/>
          <w:bCs/>
        </w:rPr>
      </w:pPr>
      <w:r>
        <w:rPr>
          <w:b/>
          <w:u w:val="single"/>
          <w:lang w:val="en-GB"/>
        </w:rPr>
        <w:t>Question 24:</w:t>
      </w:r>
      <w:r>
        <w:rPr>
          <w:b/>
          <w:lang w:val="en-GB"/>
        </w:rPr>
        <w:t xml:space="preserve"> </w:t>
      </w:r>
      <w:r>
        <w:rPr>
          <w:b/>
          <w:bCs/>
        </w:rPr>
        <w:t xml:space="preserve">How should 'juniors' </w:t>
      </w:r>
      <w:proofErr w:type="gramStart"/>
      <w:r>
        <w:rPr>
          <w:b/>
          <w:bCs/>
        </w:rPr>
        <w:t>be</w:t>
      </w:r>
      <w:proofErr w:type="gramEnd"/>
      <w:r>
        <w:rPr>
          <w:b/>
          <w:bCs/>
        </w:rPr>
        <w:t xml:space="preserve"> dealt with under the scheme?</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r>
        <w:rPr>
          <w:b/>
          <w:bCs/>
          <w:u w:val="single"/>
        </w:rPr>
        <w:lastRenderedPageBreak/>
        <w:t>Question 25</w:t>
      </w:r>
      <w:r>
        <w:rPr>
          <w:b/>
          <w:bCs/>
        </w:rPr>
        <w:t>: What level should be achieved before advocates can be led? Should it be possible for the facts or circumstances of a particular case to alter this to enable someone not at the required level to be led?</w:t>
      </w: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p>
    <w:p w:rsidR="00611190" w:rsidRDefault="00611190" w:rsidP="00611190">
      <w:pPr>
        <w:autoSpaceDE w:val="0"/>
        <w:autoSpaceDN w:val="0"/>
        <w:adjustRightInd w:val="0"/>
        <w:spacing w:line="360" w:lineRule="auto"/>
        <w:rPr>
          <w:b/>
          <w:bCs/>
        </w:rPr>
      </w:pPr>
      <w:r>
        <w:rPr>
          <w:b/>
          <w:bCs/>
          <w:u w:val="single"/>
        </w:rPr>
        <w:t>Question 26</w:t>
      </w:r>
      <w:r>
        <w:rPr>
          <w:b/>
          <w:bCs/>
        </w:rPr>
        <w:t>: What level should be achieved before advocates can lead?</w:t>
      </w:r>
    </w:p>
    <w:p w:rsidR="00611190" w:rsidRDefault="00611190" w:rsidP="00611190">
      <w:pPr>
        <w:spacing w:line="480" w:lineRule="auto"/>
        <w:jc w:val="both"/>
        <w:rPr>
          <w:u w:val="single"/>
          <w:lang w:val="en-GB"/>
        </w:rPr>
      </w:pPr>
    </w:p>
    <w:p w:rsidR="00611190" w:rsidRDefault="00611190" w:rsidP="00611190">
      <w:pPr>
        <w:spacing w:line="480" w:lineRule="auto"/>
        <w:jc w:val="both"/>
        <w:rPr>
          <w:lang w:val="en-GB"/>
        </w:rPr>
      </w:pPr>
      <w:r>
        <w:rPr>
          <w:lang w:val="en-GB"/>
        </w:rPr>
        <w:t>We think that an advocate would need to be qualified at level 3 before they could act as junior.  It is rare for juniors to have to take over in the absence of the Leader but it seems to us that it should be made clear in public at the PCMH that this is what will happen.</w:t>
      </w:r>
    </w:p>
    <w:p w:rsidR="00611190" w:rsidRDefault="00611190" w:rsidP="00611190">
      <w:pPr>
        <w:spacing w:line="480" w:lineRule="auto"/>
        <w:jc w:val="both"/>
        <w:rPr>
          <w:lang w:val="en-GB"/>
        </w:rPr>
      </w:pPr>
    </w:p>
    <w:p w:rsidR="00611190" w:rsidRDefault="00611190" w:rsidP="00611190">
      <w:pPr>
        <w:autoSpaceDE w:val="0"/>
        <w:autoSpaceDN w:val="0"/>
        <w:adjustRightInd w:val="0"/>
        <w:spacing w:line="360" w:lineRule="auto"/>
      </w:pPr>
      <w:r>
        <w:rPr>
          <w:b/>
          <w:u w:val="single"/>
          <w:lang w:val="en-GB"/>
        </w:rPr>
        <w:t>Question 27:</w:t>
      </w:r>
      <w:r>
        <w:rPr>
          <w:b/>
          <w:lang w:val="en-GB"/>
        </w:rPr>
        <w:t xml:space="preserve">  </w:t>
      </w:r>
      <w:r>
        <w:rPr>
          <w:b/>
          <w:bCs/>
        </w:rPr>
        <w:t>Are there any other issues that have not been mentioned in the consultation paper and which require further consideration at this stage?</w:t>
      </w:r>
    </w:p>
    <w:p w:rsidR="00611190" w:rsidRDefault="00611190" w:rsidP="00611190">
      <w:pPr>
        <w:spacing w:line="480" w:lineRule="auto"/>
        <w:jc w:val="both"/>
        <w:rPr>
          <w:b/>
          <w:u w:val="single"/>
          <w:lang w:val="en-GB"/>
        </w:rPr>
      </w:pPr>
    </w:p>
    <w:p w:rsidR="00611190" w:rsidRDefault="00176AC8" w:rsidP="00611190">
      <w:pPr>
        <w:spacing w:line="480" w:lineRule="auto"/>
        <w:jc w:val="both"/>
        <w:rPr>
          <w:lang w:val="en-GB"/>
        </w:rPr>
      </w:pPr>
      <w:r>
        <w:rPr>
          <w:lang w:val="en-GB"/>
        </w:rPr>
        <w:t>T</w:t>
      </w:r>
      <w:r w:rsidR="00611190">
        <w:rPr>
          <w:lang w:val="en-GB"/>
        </w:rPr>
        <w:t xml:space="preserve">he exercise of placing criminal offences in one of 4 categories </w:t>
      </w:r>
      <w:r>
        <w:rPr>
          <w:lang w:val="en-GB"/>
        </w:rPr>
        <w:t xml:space="preserve">will not be free from difficulty. </w:t>
      </w:r>
      <w:r w:rsidR="00611190">
        <w:rPr>
          <w:lang w:val="en-GB"/>
        </w:rPr>
        <w:t>We are not sure who will be responsible for the authoritative grading of a case and whether or</w:t>
      </w:r>
      <w:r>
        <w:rPr>
          <w:lang w:val="en-GB"/>
        </w:rPr>
        <w:t xml:space="preserve"> not an appeal will be possible?</w:t>
      </w:r>
      <w:r w:rsidR="00461F85">
        <w:rPr>
          <w:lang w:val="en-GB"/>
        </w:rPr>
        <w:t xml:space="preserve"> No mention is made of any appeal against a decision not to award an advocate a particular grade</w:t>
      </w:r>
      <w:r>
        <w:rPr>
          <w:lang w:val="en-GB"/>
        </w:rPr>
        <w:t xml:space="preserve"> or against a traffic light violation</w:t>
      </w:r>
      <w:r w:rsidR="00461F85">
        <w:rPr>
          <w:lang w:val="en-GB"/>
        </w:rPr>
        <w:t>. Plainly this needs to be considered.</w:t>
      </w:r>
      <w:r>
        <w:rPr>
          <w:lang w:val="en-GB"/>
        </w:rPr>
        <w:t xml:space="preserve"> </w:t>
      </w:r>
      <w:r w:rsidR="000778DB">
        <w:rPr>
          <w:lang w:val="en-GB"/>
        </w:rPr>
        <w:t>(</w:t>
      </w:r>
      <w:r>
        <w:rPr>
          <w:lang w:val="en-GB"/>
        </w:rPr>
        <w:t xml:space="preserve">The recent CPS exercise </w:t>
      </w:r>
      <w:r w:rsidR="000778DB">
        <w:rPr>
          <w:lang w:val="en-GB"/>
        </w:rPr>
        <w:t>of grading London Counse</w:t>
      </w:r>
      <w:r>
        <w:rPr>
          <w:lang w:val="en-GB"/>
        </w:rPr>
        <w:t xml:space="preserve">l </w:t>
      </w:r>
      <w:r w:rsidR="009C6425">
        <w:rPr>
          <w:lang w:val="en-GB"/>
        </w:rPr>
        <w:t>included an appeals process</w:t>
      </w:r>
      <w:r w:rsidR="000778DB">
        <w:rPr>
          <w:lang w:val="en-GB"/>
        </w:rPr>
        <w:t>)</w:t>
      </w:r>
      <w:r w:rsidR="009C6425">
        <w:rPr>
          <w:lang w:val="en-GB"/>
        </w:rPr>
        <w:t xml:space="preserve">. </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lang w:val="en-GB"/>
        </w:rPr>
        <w:t>Finally, for obvious reasons we have not had the benefit of seeing all the other respo</w:t>
      </w:r>
      <w:r w:rsidR="009C6425">
        <w:rPr>
          <w:lang w:val="en-GB"/>
        </w:rPr>
        <w:t>nses to the consultation paper.</w:t>
      </w:r>
      <w:r>
        <w:rPr>
          <w:lang w:val="en-GB"/>
        </w:rPr>
        <w:t xml:space="preserve"> Any QAA scheme has important implications for the public and for the advocates whos</w:t>
      </w:r>
      <w:r w:rsidR="009C6425">
        <w:rPr>
          <w:lang w:val="en-GB"/>
        </w:rPr>
        <w:t>e livelihoods are involved. Once</w:t>
      </w:r>
      <w:r>
        <w:rPr>
          <w:lang w:val="en-GB"/>
        </w:rPr>
        <w:t xml:space="preserve"> a more detai</w:t>
      </w:r>
      <w:r w:rsidR="00461F85">
        <w:rPr>
          <w:lang w:val="en-GB"/>
        </w:rPr>
        <w:t xml:space="preserve">led provisional scheme is </w:t>
      </w:r>
      <w:r>
        <w:rPr>
          <w:lang w:val="en-GB"/>
        </w:rPr>
        <w:t xml:space="preserve">devised, we </w:t>
      </w:r>
      <w:r w:rsidR="009C6425">
        <w:rPr>
          <w:lang w:val="en-GB"/>
        </w:rPr>
        <w:t xml:space="preserve">would welcome the opportunity to </w:t>
      </w:r>
      <w:r w:rsidR="001A303A">
        <w:rPr>
          <w:lang w:val="en-GB"/>
        </w:rPr>
        <w:lastRenderedPageBreak/>
        <w:t>comment further. We suspect</w:t>
      </w:r>
      <w:r w:rsidR="009C6425">
        <w:rPr>
          <w:lang w:val="en-GB"/>
        </w:rPr>
        <w:t xml:space="preserve"> that no</w:t>
      </w:r>
      <w:r w:rsidR="001A303A">
        <w:rPr>
          <w:lang w:val="en-GB"/>
        </w:rPr>
        <w:t>ne of the issues we have rais</w:t>
      </w:r>
      <w:r w:rsidR="009C6425">
        <w:rPr>
          <w:lang w:val="en-GB"/>
        </w:rPr>
        <w:t xml:space="preserve">ed </w:t>
      </w:r>
      <w:r w:rsidR="001A303A">
        <w:rPr>
          <w:lang w:val="en-GB"/>
        </w:rPr>
        <w:t>is</w:t>
      </w:r>
      <w:r w:rsidR="009C6425">
        <w:rPr>
          <w:lang w:val="en-GB"/>
        </w:rPr>
        <w:t xml:space="preserve"> insuperable. We appreciate that the Legal Services Board has said that a scheme must be in place by June 2011. </w:t>
      </w:r>
    </w:p>
    <w:p w:rsidR="00611190" w:rsidRDefault="00611190" w:rsidP="00611190">
      <w:pPr>
        <w:spacing w:line="480" w:lineRule="auto"/>
        <w:jc w:val="both"/>
        <w:rPr>
          <w:lang w:val="en-GB"/>
        </w:rPr>
      </w:pPr>
    </w:p>
    <w:p w:rsidR="00611190" w:rsidRDefault="00611190" w:rsidP="00611190">
      <w:pPr>
        <w:spacing w:line="480" w:lineRule="auto"/>
        <w:jc w:val="both"/>
        <w:rPr>
          <w:lang w:val="en-GB"/>
        </w:rPr>
      </w:pPr>
    </w:p>
    <w:p w:rsidR="00611190" w:rsidRDefault="00611190" w:rsidP="00611190">
      <w:pPr>
        <w:spacing w:line="480" w:lineRule="auto"/>
        <w:jc w:val="both"/>
        <w:rPr>
          <w:lang w:val="en-GB"/>
        </w:rPr>
      </w:pPr>
      <w:r>
        <w:rPr>
          <w:b/>
          <w:lang w:val="en-GB"/>
        </w:rPr>
        <w:t>NICHOLAS HILLIARD Q.C.</w:t>
      </w:r>
    </w:p>
    <w:p w:rsidR="00611190" w:rsidRDefault="00611190" w:rsidP="00611190">
      <w:pPr>
        <w:spacing w:line="480" w:lineRule="auto"/>
        <w:jc w:val="both"/>
        <w:rPr>
          <w:lang w:val="en-GB"/>
        </w:rPr>
      </w:pPr>
      <w:r>
        <w:rPr>
          <w:b/>
          <w:lang w:val="en-GB"/>
        </w:rPr>
        <w:t>SARAH FORSHAW Q.C.</w:t>
      </w:r>
    </w:p>
    <w:p w:rsidR="00611190" w:rsidRDefault="00611190" w:rsidP="00611190">
      <w:pPr>
        <w:spacing w:line="480" w:lineRule="auto"/>
        <w:jc w:val="both"/>
        <w:rPr>
          <w:b/>
          <w:lang w:val="en-GB"/>
        </w:rPr>
      </w:pPr>
      <w:r>
        <w:rPr>
          <w:b/>
          <w:lang w:val="en-GB"/>
        </w:rPr>
        <w:t>JAMES THACKER</w:t>
      </w:r>
    </w:p>
    <w:p w:rsidR="00611190" w:rsidRDefault="00611190" w:rsidP="00611190">
      <w:pPr>
        <w:spacing w:line="480" w:lineRule="auto"/>
        <w:jc w:val="both"/>
        <w:rPr>
          <w:b/>
          <w:lang w:val="en-GB"/>
        </w:rPr>
      </w:pPr>
      <w:r>
        <w:rPr>
          <w:b/>
          <w:lang w:val="en-GB"/>
        </w:rPr>
        <w:t>DERMOT KEATING</w:t>
      </w:r>
    </w:p>
    <w:p w:rsidR="00611190" w:rsidRDefault="000D266C" w:rsidP="00611190">
      <w:pPr>
        <w:spacing w:line="480" w:lineRule="auto"/>
        <w:jc w:val="both"/>
        <w:rPr>
          <w:lang w:val="en-GB"/>
        </w:rPr>
      </w:pPr>
      <w:r>
        <w:rPr>
          <w:lang w:val="en-GB"/>
        </w:rPr>
        <w:t>7th</w:t>
      </w:r>
      <w:r w:rsidR="00611190">
        <w:rPr>
          <w:lang w:val="en-GB"/>
        </w:rPr>
        <w:t xml:space="preserve"> November 2010</w:t>
      </w:r>
    </w:p>
    <w:p w:rsidR="00611190" w:rsidRDefault="00611190" w:rsidP="00611190"/>
    <w:p w:rsidR="00611190" w:rsidRDefault="00611190" w:rsidP="00611190"/>
    <w:p w:rsidR="00E234DE" w:rsidRDefault="00E234DE"/>
    <w:sectPr w:rsidR="00E234DE" w:rsidSect="00EC568C">
      <w:headerReference w:type="default" r:id="rId6"/>
      <w:footerReference w:type="first" r:id="rId7"/>
      <w:pgSz w:w="11909" w:h="16834" w:code="9"/>
      <w:pgMar w:top="1872" w:right="1872" w:bottom="1584" w:left="1872" w:header="864"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9AE" w:rsidRDefault="00E669AE" w:rsidP="00EC568C">
      <w:r>
        <w:separator/>
      </w:r>
    </w:p>
  </w:endnote>
  <w:endnote w:type="continuationSeparator" w:id="0">
    <w:p w:rsidR="00E669AE" w:rsidRDefault="00E669AE" w:rsidP="00EC5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4C" w:rsidRDefault="00E66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9AE" w:rsidRDefault="00E669AE" w:rsidP="00EC568C">
      <w:r>
        <w:separator/>
      </w:r>
    </w:p>
  </w:footnote>
  <w:footnote w:type="continuationSeparator" w:id="0">
    <w:p w:rsidR="00E669AE" w:rsidRDefault="00E669AE" w:rsidP="00EC5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4C" w:rsidRDefault="00A176E7">
    <w:pPr>
      <w:pStyle w:val="Header"/>
      <w:jc w:val="center"/>
    </w:pPr>
    <w:r>
      <w:t xml:space="preserve">- </w:t>
    </w:r>
    <w:r w:rsidR="00EC568C">
      <w:fldChar w:fldCharType="begin"/>
    </w:r>
    <w:r>
      <w:instrText xml:space="preserve"> PAGE </w:instrText>
    </w:r>
    <w:r w:rsidR="00EC568C">
      <w:fldChar w:fldCharType="separate"/>
    </w:r>
    <w:r w:rsidR="001A303A">
      <w:rPr>
        <w:noProof/>
      </w:rPr>
      <w:t>10</w:t>
    </w:r>
    <w:r w:rsidR="00EC568C">
      <w:fldChar w:fldCharType="end"/>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611190"/>
    <w:rsid w:val="000778DB"/>
    <w:rsid w:val="000D266C"/>
    <w:rsid w:val="00176AC8"/>
    <w:rsid w:val="001A303A"/>
    <w:rsid w:val="001F7613"/>
    <w:rsid w:val="00461F85"/>
    <w:rsid w:val="00611190"/>
    <w:rsid w:val="007A5800"/>
    <w:rsid w:val="009946FD"/>
    <w:rsid w:val="009C6425"/>
    <w:rsid w:val="00A176E7"/>
    <w:rsid w:val="00A335C8"/>
    <w:rsid w:val="00CD0750"/>
    <w:rsid w:val="00E234DE"/>
    <w:rsid w:val="00E669AE"/>
    <w:rsid w:val="00EC568C"/>
    <w:rsid w:val="00FA2C86"/>
    <w:rsid w:val="00FE7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11190"/>
    <w:pPr>
      <w:tabs>
        <w:tab w:val="center" w:pos="4320"/>
        <w:tab w:val="right" w:pos="8640"/>
      </w:tabs>
    </w:pPr>
  </w:style>
  <w:style w:type="character" w:customStyle="1" w:styleId="HeaderChar">
    <w:name w:val="Header Char"/>
    <w:basedOn w:val="DefaultParagraphFont"/>
    <w:link w:val="Header"/>
    <w:semiHidden/>
    <w:rsid w:val="00611190"/>
    <w:rPr>
      <w:rFonts w:ascii="Times New Roman" w:eastAsia="Times New Roman" w:hAnsi="Times New Roman" w:cs="Times New Roman"/>
      <w:sz w:val="24"/>
      <w:szCs w:val="24"/>
    </w:rPr>
  </w:style>
  <w:style w:type="paragraph" w:styleId="Footer">
    <w:name w:val="footer"/>
    <w:basedOn w:val="Normal"/>
    <w:link w:val="FooterChar"/>
    <w:semiHidden/>
    <w:unhideWhenUsed/>
    <w:rsid w:val="00611190"/>
    <w:pPr>
      <w:tabs>
        <w:tab w:val="center" w:pos="4513"/>
        <w:tab w:val="right" w:pos="9026"/>
      </w:tabs>
    </w:pPr>
  </w:style>
  <w:style w:type="character" w:customStyle="1" w:styleId="FooterChar">
    <w:name w:val="Footer Char"/>
    <w:basedOn w:val="DefaultParagraphFont"/>
    <w:link w:val="Footer"/>
    <w:semiHidden/>
    <w:rsid w:val="00611190"/>
    <w:rPr>
      <w:rFonts w:ascii="Times New Roman" w:eastAsia="Times New Roman" w:hAnsi="Times New Roman" w:cs="Times New Roman"/>
      <w:sz w:val="24"/>
      <w:szCs w:val="24"/>
    </w:rPr>
  </w:style>
  <w:style w:type="paragraph" w:styleId="BodyText">
    <w:name w:val="Body Text"/>
    <w:basedOn w:val="Normal"/>
    <w:link w:val="BodyTextChar"/>
    <w:semiHidden/>
    <w:rsid w:val="00611190"/>
    <w:pPr>
      <w:autoSpaceDE w:val="0"/>
      <w:autoSpaceDN w:val="0"/>
      <w:adjustRightInd w:val="0"/>
    </w:pPr>
    <w:rPr>
      <w:rFonts w:ascii="Arial" w:eastAsia="Calibri" w:hAnsi="Arial" w:cs="Arial"/>
      <w:b/>
      <w:bCs/>
      <w:sz w:val="40"/>
      <w:szCs w:val="40"/>
      <w:lang w:val="en-GB"/>
    </w:rPr>
  </w:style>
  <w:style w:type="character" w:customStyle="1" w:styleId="BodyTextChar">
    <w:name w:val="Body Text Char"/>
    <w:basedOn w:val="DefaultParagraphFont"/>
    <w:link w:val="BodyText"/>
    <w:semiHidden/>
    <w:rsid w:val="00611190"/>
    <w:rPr>
      <w:rFonts w:ascii="Arial" w:eastAsia="Calibri" w:hAnsi="Arial" w:cs="Arial"/>
      <w:b/>
      <w:bCs/>
      <w:sz w:val="40"/>
      <w:szCs w:val="4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13</cp:revision>
  <cp:lastPrinted>2010-11-07T18:33:00Z</cp:lastPrinted>
  <dcterms:created xsi:type="dcterms:W3CDTF">2010-11-02T20:30:00Z</dcterms:created>
  <dcterms:modified xsi:type="dcterms:W3CDTF">2010-11-07T18:49:00Z</dcterms:modified>
</cp:coreProperties>
</file>